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D64AF9" w:rsidRPr="00D64AF9" w14:paraId="301FC631" w14:textId="77777777" w:rsidTr="00D64AF9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DF8C6" w14:textId="77777777" w:rsidR="00D64AF9" w:rsidRPr="00D64AF9" w:rsidRDefault="00D64AF9" w:rsidP="00D64AF9">
            <w:pPr>
              <w:spacing w:after="0" w:line="240" w:lineRule="atLeas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D64A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 Aralık 2020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B8BF" w14:textId="77777777" w:rsidR="00D64AF9" w:rsidRPr="00D64AF9" w:rsidRDefault="00D64AF9" w:rsidP="00D64AF9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31AF" w14:textId="77777777" w:rsidR="00D64AF9" w:rsidRPr="00D64AF9" w:rsidRDefault="00D64AF9" w:rsidP="00D64AF9">
            <w:pPr>
              <w:spacing w:before="100" w:beforeAutospacing="1" w:after="100" w:afterAutospacing="1" w:line="240" w:lineRule="auto"/>
              <w:jc w:val="right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64A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Sayı :</w:t>
            </w:r>
            <w:proofErr w:type="gramEnd"/>
            <w:r w:rsidRPr="00D64AF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31349 </w:t>
            </w:r>
            <w:r w:rsidRPr="00D64A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(Mükerrer)</w:t>
            </w:r>
          </w:p>
        </w:tc>
      </w:tr>
      <w:tr w:rsidR="00D64AF9" w:rsidRPr="00D64AF9" w14:paraId="645B3C5E" w14:textId="77777777" w:rsidTr="00D64AF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0171" w14:textId="77777777" w:rsidR="00D64AF9" w:rsidRPr="00D64AF9" w:rsidRDefault="00D64AF9" w:rsidP="00D64AF9">
            <w:pPr>
              <w:spacing w:before="100" w:beforeAutospacing="1" w:after="100" w:afterAutospacing="1" w:line="240" w:lineRule="auto"/>
              <w:jc w:val="center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tr-TR"/>
              </w:rPr>
            </w:pPr>
            <w:r w:rsidRPr="00D64AF9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D64AF9" w:rsidRPr="00D64AF9" w14:paraId="796143F0" w14:textId="77777777" w:rsidTr="00D64AF9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C6B4" w14:textId="091373EB" w:rsid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u w:val="single"/>
                <w:lang w:eastAsia="tr-TR"/>
              </w:rPr>
              <w:t>Hazine ve Maliye Bakanlığı (Gelir İdaresi Başkanlığı)’</w:t>
            </w:r>
            <w:proofErr w:type="spell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u w:val="single"/>
                <w:lang w:eastAsia="tr-TR"/>
              </w:rPr>
              <w:t>ndan</w:t>
            </w:r>
            <w:proofErr w:type="spell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u w:val="single"/>
                <w:lang w:eastAsia="tr-TR"/>
              </w:rPr>
              <w:t xml:space="preserve">: </w:t>
            </w:r>
          </w:p>
          <w:p w14:paraId="4A52A1F6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u w:val="single"/>
                <w:lang w:eastAsia="tr-TR"/>
              </w:rPr>
            </w:pPr>
          </w:p>
          <w:p w14:paraId="6B22DE25" w14:textId="77777777" w:rsidR="00D64AF9" w:rsidRDefault="00D64AF9" w:rsidP="00D64AF9">
            <w:pPr>
              <w:spacing w:before="56"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DAMGA VERGİSİ KANUNU GENEL TEBLİĞİ</w:t>
            </w:r>
            <w:r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14:paraId="49E915E2" w14:textId="1B537100" w:rsidR="00D64AF9" w:rsidRPr="00D64AF9" w:rsidRDefault="00D64AF9" w:rsidP="00D64AF9">
            <w:pPr>
              <w:spacing w:before="56" w:after="0" w:line="240" w:lineRule="atLeast"/>
              <w:jc w:val="center"/>
              <w:rPr>
                <w:rFonts w:ascii="&amp;quot" w:eastAsia="Times New Roman" w:hAnsi="&amp;quot" w:cs="Times New Roman"/>
                <w:b/>
                <w:bCs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(SERİ NO: 65)</w:t>
            </w:r>
          </w:p>
          <w:p w14:paraId="0DF95C8A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Amaç ve kapsam</w:t>
            </w:r>
          </w:p>
          <w:p w14:paraId="325FE104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1–</w:t>
            </w: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(1) Bu Tebliğin amacı, 1/7/1964 tarihli ve 488 sayılı Damga Vergisi Kanununun </w:t>
            </w:r>
            <w:proofErr w:type="gram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>14 üncü</w:t>
            </w:r>
            <w:proofErr w:type="gram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maddesinde yer alan azami tutarın ve Damga Vergisi Kanununa ekli (1) sayılı tabloda yer alan maktu vergilerin yeniden değerleme oranına göre belirlenerek tespit ve ilan edilmesidir. </w:t>
            </w:r>
          </w:p>
          <w:p w14:paraId="1D5AB8E5" w14:textId="77777777" w:rsid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234829DA" w14:textId="4CF991C9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Dayanak</w:t>
            </w:r>
          </w:p>
          <w:p w14:paraId="227A4A0B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2 –</w:t>
            </w: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(1) Bu Tebliğ, 488 sayılı Kanunun </w:t>
            </w:r>
            <w:proofErr w:type="gram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>14 üncü</w:t>
            </w:r>
            <w:proofErr w:type="gram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maddesinin birinci fıkrası ve mükerrer 30 uncu maddesinin birinci fıkrası hükümlerine dayanılarak hazırlanmıştır. </w:t>
            </w:r>
          </w:p>
          <w:p w14:paraId="437542D6" w14:textId="77777777" w:rsid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14:paraId="4877442A" w14:textId="3C73D9BF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Maktu damga vergisi tutarları ile azami tutarın belirlenmesi</w:t>
            </w:r>
          </w:p>
          <w:p w14:paraId="227ED3A1" w14:textId="0491EC6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3 –</w:t>
            </w: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(1) Bakanlığımızca 2020 yılı için yeniden değerleme oranı </w:t>
            </w:r>
            <w:proofErr w:type="gram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highlight w:val="yellow"/>
                <w:lang w:eastAsia="tr-TR"/>
              </w:rPr>
              <w:t>% 9,11</w:t>
            </w:r>
            <w:proofErr w:type="gram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highlight w:val="yellow"/>
                <w:lang w:eastAsia="tr-TR"/>
              </w:rPr>
              <w:t xml:space="preserve"> (dokuz virgül </w:t>
            </w:r>
            <w:proofErr w:type="spell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highlight w:val="yellow"/>
                <w:lang w:eastAsia="tr-TR"/>
              </w:rPr>
              <w:t>onbir</w:t>
            </w:r>
            <w:proofErr w:type="spell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) olarak tespit edilmiş ve 28/11/2020 tarihli ve 31318 sayılı Resmî </w:t>
            </w:r>
            <w:proofErr w:type="spell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>Gazete’de</w:t>
            </w:r>
            <w:proofErr w:type="spell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yayımlanan Vergi Usul Kanunu Genel Tebliği (Sıra No: 521) ile ilan edilmiş bulunmaktadır. </w:t>
            </w:r>
          </w:p>
          <w:p w14:paraId="76898F31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(2) 488 sayılı Kanunun mükerrer 30 uncu maddesinin birinci fıkrası hükmü gereğince, Kanuna ekli (1) sayılı tabloda yer alan ve 64 Seri </w:t>
            </w:r>
            <w:proofErr w:type="spell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>No’lu</w:t>
            </w:r>
            <w:proofErr w:type="spell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Damga Vergisi Kanunu Genel Tebliği ile tespit edilen maktu vergiler, (maktu ve nispi vergilerin asgari ve azami miktarlarını belirleyen hadler dahil), yeniden değerleme oranında artırılmış ve 1/1/2021 tarihinden itibaren uygulanacak miktarları Tebliğ ekindeki (1) sayılı tabloda gösterilmiştir.</w:t>
            </w:r>
          </w:p>
          <w:p w14:paraId="1647447D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(3) 488 sayılı Kanunun </w:t>
            </w:r>
            <w:proofErr w:type="gramStart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>14 üncü</w:t>
            </w:r>
            <w:proofErr w:type="gramEnd"/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maddesinin birinci fıkrasında yer alan her bir kağıttan alınacak damga vergisine ilişkin üst sınır yeniden değerleme oranında artırılmış ve 1/1/2021 tarihinden itibaren </w:t>
            </w: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highlight w:val="yellow"/>
                <w:lang w:eastAsia="tr-TR"/>
              </w:rPr>
              <w:t>3.534.679,90</w:t>
            </w: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Türk Lirası olmuştur.</w:t>
            </w:r>
          </w:p>
          <w:p w14:paraId="471B2249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Yürürlük</w:t>
            </w:r>
          </w:p>
          <w:p w14:paraId="76FF312B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4 –</w:t>
            </w: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(1) Bu Tebliğ 1/1/2021 tarihinde yürürlüğe girer.</w:t>
            </w:r>
          </w:p>
          <w:p w14:paraId="370E38FB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Yürütme</w:t>
            </w:r>
          </w:p>
          <w:p w14:paraId="37ACC07D" w14:textId="77777777" w:rsidR="00D64AF9" w:rsidRPr="00D64AF9" w:rsidRDefault="00D64AF9" w:rsidP="00D64AF9">
            <w:pPr>
              <w:spacing w:after="0" w:line="240" w:lineRule="atLeast"/>
              <w:ind w:firstLine="566"/>
              <w:jc w:val="both"/>
              <w:rPr>
                <w:rFonts w:ascii="&amp;quot" w:eastAsia="Times New Roman" w:hAnsi="&amp;quot" w:cs="Times New Roman"/>
                <w:color w:val="000000"/>
                <w:sz w:val="19"/>
                <w:szCs w:val="19"/>
                <w:lang w:eastAsia="tr-TR"/>
              </w:rPr>
            </w:pPr>
            <w:r w:rsidRPr="00D64AF9"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lang w:eastAsia="tr-TR"/>
              </w:rPr>
              <w:t>MADDE 5 –</w:t>
            </w:r>
            <w:r w:rsidRPr="00D64AF9">
              <w:rPr>
                <w:rFonts w:ascii="&amp;quot" w:eastAsia="Times New Roman" w:hAnsi="&amp;quot" w:cs="Times New Roman"/>
                <w:color w:val="000000"/>
                <w:sz w:val="18"/>
                <w:szCs w:val="18"/>
                <w:lang w:eastAsia="tr-TR"/>
              </w:rPr>
              <w:t xml:space="preserve"> (1) Bu Tebliğ hükümlerini Hazine ve Maliye Bakanı yürütür.</w:t>
            </w:r>
          </w:p>
        </w:tc>
      </w:tr>
    </w:tbl>
    <w:p w14:paraId="732D8E40" w14:textId="77777777" w:rsidR="00370753" w:rsidRDefault="00370753"/>
    <w:sectPr w:rsidR="00370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F9"/>
    <w:rsid w:val="00370753"/>
    <w:rsid w:val="00D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AA2BF"/>
  <w15:chartTrackingRefBased/>
  <w15:docId w15:val="{32AFC459-69E5-4E6D-B2E1-509E22A3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Erol</dc:creator>
  <cp:keywords/>
  <dc:description/>
  <cp:lastModifiedBy>Nuri Erol</cp:lastModifiedBy>
  <cp:revision>1</cp:revision>
  <dcterms:created xsi:type="dcterms:W3CDTF">2020-12-29T08:00:00Z</dcterms:created>
  <dcterms:modified xsi:type="dcterms:W3CDTF">2020-12-29T08:02:00Z</dcterms:modified>
</cp:coreProperties>
</file>